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22" w:rsidRPr="00B5525B" w:rsidRDefault="00BF5722" w:rsidP="004902D3">
      <w:pPr>
        <w:keepLines/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5525B">
        <w:rPr>
          <w:rFonts w:ascii="Arial" w:hAnsi="Arial" w:cs="Arial"/>
          <w:sz w:val="22"/>
          <w:szCs w:val="22"/>
        </w:rPr>
        <w:t xml:space="preserve">The purpose of the </w:t>
      </w:r>
      <w:r w:rsidRPr="00B5525B">
        <w:rPr>
          <w:rFonts w:ascii="Arial" w:hAnsi="Arial" w:cs="Arial"/>
          <w:i/>
          <w:sz w:val="22"/>
          <w:szCs w:val="22"/>
        </w:rPr>
        <w:t>Queensland Reconstruction Authority Amendment Regulation 2011</w:t>
      </w:r>
      <w:r w:rsidRPr="00B5525B">
        <w:rPr>
          <w:rFonts w:ascii="Arial" w:hAnsi="Arial" w:cs="Arial"/>
          <w:sz w:val="22"/>
          <w:szCs w:val="22"/>
        </w:rPr>
        <w:t xml:space="preserve"> is to enable the Development Scheme for the Grantham </w:t>
      </w:r>
      <w:r>
        <w:rPr>
          <w:rFonts w:ascii="Arial" w:hAnsi="Arial" w:cs="Arial"/>
          <w:sz w:val="22"/>
          <w:szCs w:val="22"/>
        </w:rPr>
        <w:t>Reconstruction Area</w:t>
      </w:r>
      <w:r w:rsidRPr="00B5525B">
        <w:rPr>
          <w:rFonts w:ascii="Arial" w:hAnsi="Arial" w:cs="Arial"/>
          <w:sz w:val="22"/>
          <w:szCs w:val="22"/>
        </w:rPr>
        <w:t xml:space="preserve"> to take effect.</w:t>
      </w:r>
    </w:p>
    <w:p w:rsidR="00BF5722" w:rsidRPr="00B5525B" w:rsidRDefault="00BF5722" w:rsidP="004902D3">
      <w:pPr>
        <w:keepLines/>
        <w:ind w:left="360"/>
        <w:jc w:val="both"/>
        <w:rPr>
          <w:rFonts w:ascii="Arial" w:hAnsi="Arial" w:cs="Arial"/>
          <w:sz w:val="22"/>
          <w:szCs w:val="22"/>
        </w:rPr>
      </w:pPr>
    </w:p>
    <w:p w:rsidR="00BF5722" w:rsidRPr="00B5525B" w:rsidRDefault="00BF5722" w:rsidP="004902D3">
      <w:pPr>
        <w:pStyle w:val="ListParagraph"/>
        <w:keepLines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5525B">
        <w:rPr>
          <w:rFonts w:ascii="Arial" w:hAnsi="Arial" w:cs="Arial"/>
          <w:sz w:val="22"/>
          <w:szCs w:val="22"/>
        </w:rPr>
        <w:t xml:space="preserve">On 8 April 2011, to support the request of the Council and to fast-track the rebuilding efforts at Grantham, Grantham was declared a </w:t>
      </w:r>
      <w:r>
        <w:rPr>
          <w:rFonts w:ascii="Arial" w:hAnsi="Arial" w:cs="Arial"/>
          <w:sz w:val="22"/>
          <w:szCs w:val="22"/>
        </w:rPr>
        <w:t>Reconstruction Area</w:t>
      </w:r>
      <w:r w:rsidRPr="00B5525B">
        <w:rPr>
          <w:rFonts w:ascii="Arial" w:hAnsi="Arial" w:cs="Arial"/>
          <w:sz w:val="22"/>
          <w:szCs w:val="22"/>
        </w:rPr>
        <w:t xml:space="preserve"> by the Queensland Reconstruction Authority Regulation 2011.</w:t>
      </w:r>
      <w:r w:rsidRPr="00B5525B">
        <w:rPr>
          <w:i/>
        </w:rPr>
        <w:t xml:space="preserve"> </w:t>
      </w:r>
    </w:p>
    <w:p w:rsidR="00BF5722" w:rsidRPr="00B5525B" w:rsidRDefault="00BF5722" w:rsidP="004902D3">
      <w:pPr>
        <w:pStyle w:val="ListParagraph"/>
        <w:keepLines/>
        <w:ind w:left="360"/>
        <w:rPr>
          <w:rFonts w:ascii="Arial" w:hAnsi="Arial" w:cs="Arial"/>
          <w:sz w:val="22"/>
          <w:szCs w:val="22"/>
        </w:rPr>
      </w:pPr>
    </w:p>
    <w:p w:rsidR="00BF5722" w:rsidRPr="00B5525B" w:rsidRDefault="00BF5722" w:rsidP="004902D3">
      <w:pPr>
        <w:pStyle w:val="ListParagraph"/>
        <w:keepLines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5525B">
        <w:rPr>
          <w:rFonts w:ascii="Arial" w:hAnsi="Arial" w:cs="Arial"/>
          <w:sz w:val="22"/>
          <w:szCs w:val="22"/>
        </w:rPr>
        <w:t xml:space="preserve">The declaration of the </w:t>
      </w:r>
      <w:r>
        <w:rPr>
          <w:rFonts w:ascii="Arial" w:hAnsi="Arial" w:cs="Arial"/>
          <w:sz w:val="22"/>
          <w:szCs w:val="22"/>
        </w:rPr>
        <w:t>Reconstruction Area</w:t>
      </w:r>
      <w:r w:rsidRPr="00B5525B">
        <w:rPr>
          <w:rFonts w:ascii="Arial" w:hAnsi="Arial" w:cs="Arial"/>
          <w:sz w:val="22"/>
          <w:szCs w:val="22"/>
        </w:rPr>
        <w:t xml:space="preserve"> enabled the Authority to prepare a Development Scheme which would translate the Community’s Master Plan into a regulatory framework and fast-track any planning and building approval processes. This process would allow some residents to be in their homes by Christmas 2011. </w:t>
      </w:r>
    </w:p>
    <w:p w:rsidR="00BF5722" w:rsidRPr="00B5525B" w:rsidRDefault="00BF5722" w:rsidP="004902D3">
      <w:pPr>
        <w:pStyle w:val="ListParagraph"/>
        <w:keepLines/>
        <w:ind w:left="360"/>
        <w:rPr>
          <w:rFonts w:ascii="Arial" w:hAnsi="Arial" w:cs="Arial"/>
          <w:sz w:val="22"/>
          <w:szCs w:val="22"/>
        </w:rPr>
      </w:pPr>
    </w:p>
    <w:p w:rsidR="00BF5722" w:rsidRPr="00B5525B" w:rsidRDefault="00BF5722" w:rsidP="004902D3">
      <w:pPr>
        <w:pStyle w:val="ListParagraph"/>
        <w:keepLines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5525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Proposed Development Scheme</w:t>
      </w:r>
      <w:r w:rsidRPr="00B5525B">
        <w:rPr>
          <w:rFonts w:ascii="Arial" w:hAnsi="Arial" w:cs="Arial"/>
          <w:sz w:val="22"/>
          <w:szCs w:val="22"/>
        </w:rPr>
        <w:t xml:space="preserve"> was released for public consultation for a period of 30 business days on 11 May 2011 and closed on 23 June 2011. Six submissions were received by the Authority of which four were from </w:t>
      </w:r>
      <w:r w:rsidRPr="00A1266E">
        <w:rPr>
          <w:rFonts w:ascii="Arial" w:hAnsi="Arial" w:cs="Arial"/>
          <w:i/>
          <w:sz w:val="22"/>
          <w:szCs w:val="22"/>
        </w:rPr>
        <w:t>affected owners</w:t>
      </w:r>
      <w:r w:rsidRPr="00B5525B">
        <w:rPr>
          <w:rFonts w:ascii="Arial" w:hAnsi="Arial" w:cs="Arial"/>
          <w:sz w:val="22"/>
          <w:szCs w:val="22"/>
        </w:rPr>
        <w:t xml:space="preserve"> as defined under the QldRA Act including a submission from the Lockyer Valley Regional Council. </w:t>
      </w:r>
    </w:p>
    <w:p w:rsidR="00BF5722" w:rsidRPr="00B5525B" w:rsidRDefault="00BF5722" w:rsidP="004902D3">
      <w:pPr>
        <w:pStyle w:val="ListParagraph"/>
        <w:keepLines/>
        <w:ind w:left="360"/>
        <w:jc w:val="both"/>
        <w:rPr>
          <w:rFonts w:ascii="Arial" w:hAnsi="Arial" w:cs="Arial"/>
          <w:sz w:val="22"/>
          <w:szCs w:val="22"/>
        </w:rPr>
      </w:pPr>
    </w:p>
    <w:p w:rsidR="00BF5722" w:rsidRPr="00B5525B" w:rsidRDefault="00BF5722" w:rsidP="004902D3">
      <w:pPr>
        <w:pStyle w:val="ListParagraph"/>
        <w:keepLines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5525B">
        <w:rPr>
          <w:rFonts w:ascii="Arial" w:hAnsi="Arial" w:cs="Arial"/>
          <w:sz w:val="22"/>
          <w:szCs w:val="22"/>
        </w:rPr>
        <w:t>Under section 70 of the QldRA Act, the Authority is required, having regard for the matters raise</w:t>
      </w:r>
      <w:r>
        <w:rPr>
          <w:rFonts w:ascii="Arial" w:hAnsi="Arial" w:cs="Arial"/>
          <w:sz w:val="22"/>
          <w:szCs w:val="22"/>
        </w:rPr>
        <w:t>d in submissions, to amend the Proposed S</w:t>
      </w:r>
      <w:r w:rsidRPr="00B5525B">
        <w:rPr>
          <w:rFonts w:ascii="Arial" w:hAnsi="Arial" w:cs="Arial"/>
          <w:sz w:val="22"/>
          <w:szCs w:val="22"/>
        </w:rPr>
        <w:t>cheme as appropriate, and provide it to the Premier and Minister for Reconstruction as a “</w:t>
      </w:r>
      <w:r>
        <w:rPr>
          <w:rFonts w:ascii="Arial" w:hAnsi="Arial" w:cs="Arial"/>
          <w:sz w:val="22"/>
          <w:szCs w:val="22"/>
        </w:rPr>
        <w:t>Submitted Scheme</w:t>
      </w:r>
      <w:r w:rsidRPr="00B5525B">
        <w:rPr>
          <w:rFonts w:ascii="Arial" w:hAnsi="Arial" w:cs="Arial"/>
          <w:sz w:val="22"/>
          <w:szCs w:val="22"/>
        </w:rPr>
        <w:t>” (</w:t>
      </w:r>
      <w:r>
        <w:rPr>
          <w:rFonts w:ascii="Arial" w:hAnsi="Arial" w:cs="Arial"/>
          <w:sz w:val="22"/>
          <w:szCs w:val="22"/>
        </w:rPr>
        <w:t>Submitted Scheme</w:t>
      </w:r>
      <w:r w:rsidRPr="00B5525B">
        <w:rPr>
          <w:rFonts w:ascii="Arial" w:hAnsi="Arial" w:cs="Arial"/>
          <w:sz w:val="22"/>
          <w:szCs w:val="22"/>
        </w:rPr>
        <w:t xml:space="preserve">). The Authority is also required to prepare a Submissions Report detailing the submissions received and how the </w:t>
      </w:r>
      <w:r>
        <w:rPr>
          <w:rFonts w:ascii="Arial" w:hAnsi="Arial" w:cs="Arial"/>
          <w:sz w:val="22"/>
          <w:szCs w:val="22"/>
        </w:rPr>
        <w:t>Submitted Scheme</w:t>
      </w:r>
      <w:r w:rsidRPr="00B5525B">
        <w:rPr>
          <w:rFonts w:ascii="Arial" w:hAnsi="Arial" w:cs="Arial"/>
          <w:sz w:val="22"/>
          <w:szCs w:val="22"/>
        </w:rPr>
        <w:t xml:space="preserve"> reflects the submissions.</w:t>
      </w:r>
    </w:p>
    <w:p w:rsidR="00BF5722" w:rsidRPr="00B5525B" w:rsidRDefault="00BF5722" w:rsidP="004902D3">
      <w:pPr>
        <w:pStyle w:val="ListParagraph"/>
        <w:keepLines/>
        <w:ind w:left="360"/>
        <w:rPr>
          <w:rFonts w:ascii="Arial" w:hAnsi="Arial" w:cs="Arial"/>
          <w:sz w:val="22"/>
          <w:szCs w:val="22"/>
        </w:rPr>
      </w:pPr>
    </w:p>
    <w:p w:rsidR="00BF5722" w:rsidRPr="00B5525B" w:rsidRDefault="00BF5722" w:rsidP="004902D3">
      <w:pPr>
        <w:pStyle w:val="ListParagraph"/>
        <w:keepLines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5525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Submitted Scheme</w:t>
      </w:r>
      <w:r w:rsidRPr="00B5525B">
        <w:rPr>
          <w:rFonts w:ascii="Arial" w:hAnsi="Arial" w:cs="Arial"/>
          <w:sz w:val="22"/>
          <w:szCs w:val="22"/>
        </w:rPr>
        <w:t xml:space="preserve"> and the Submissions Report were provided to the Premier and Minister for Reconstruction on 30 June 2011. On the same day copies of both the </w:t>
      </w:r>
      <w:r>
        <w:rPr>
          <w:rFonts w:ascii="Arial" w:hAnsi="Arial" w:cs="Arial"/>
          <w:sz w:val="22"/>
          <w:szCs w:val="22"/>
        </w:rPr>
        <w:t>Submitted Scheme</w:t>
      </w:r>
      <w:r w:rsidRPr="00B5525B">
        <w:rPr>
          <w:rFonts w:ascii="Arial" w:hAnsi="Arial" w:cs="Arial"/>
          <w:sz w:val="22"/>
          <w:szCs w:val="22"/>
        </w:rPr>
        <w:t xml:space="preserve"> and the Submissions Report were hand delivered to all submitters.</w:t>
      </w:r>
    </w:p>
    <w:p w:rsidR="00BF5722" w:rsidRPr="00B5525B" w:rsidRDefault="00BF5722" w:rsidP="004902D3">
      <w:pPr>
        <w:pStyle w:val="ListParagraph"/>
        <w:keepLines/>
        <w:ind w:left="360"/>
        <w:rPr>
          <w:rFonts w:ascii="Arial" w:hAnsi="Arial" w:cs="Arial"/>
          <w:sz w:val="22"/>
          <w:szCs w:val="22"/>
        </w:rPr>
      </w:pPr>
    </w:p>
    <w:p w:rsidR="00BF5722" w:rsidRPr="00B5525B" w:rsidRDefault="00BF5722" w:rsidP="004902D3">
      <w:pPr>
        <w:pStyle w:val="ListParagraph"/>
        <w:keepLines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B5525B">
        <w:rPr>
          <w:rFonts w:ascii="Arial" w:hAnsi="Arial" w:cs="Arial"/>
          <w:sz w:val="22"/>
          <w:szCs w:val="22"/>
        </w:rPr>
        <w:t xml:space="preserve">ach affected owner </w:t>
      </w:r>
      <w:r>
        <w:rPr>
          <w:rFonts w:ascii="Arial" w:hAnsi="Arial" w:cs="Arial"/>
          <w:sz w:val="22"/>
          <w:szCs w:val="22"/>
        </w:rPr>
        <w:t xml:space="preserve">then </w:t>
      </w:r>
      <w:r w:rsidRPr="00B5525B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d</w:t>
      </w:r>
      <w:r w:rsidRPr="00B5525B">
        <w:rPr>
          <w:rFonts w:ascii="Arial" w:hAnsi="Arial" w:cs="Arial"/>
          <w:sz w:val="22"/>
          <w:szCs w:val="22"/>
        </w:rPr>
        <w:t xml:space="preserve"> 20 business days to ask the Minister to amend the </w:t>
      </w:r>
      <w:r>
        <w:rPr>
          <w:rFonts w:ascii="Arial" w:hAnsi="Arial" w:cs="Arial"/>
          <w:sz w:val="22"/>
          <w:szCs w:val="22"/>
        </w:rPr>
        <w:t>Submitted Scheme</w:t>
      </w:r>
      <w:r w:rsidRPr="00B5525B">
        <w:rPr>
          <w:rFonts w:ascii="Arial" w:hAnsi="Arial" w:cs="Arial"/>
          <w:sz w:val="22"/>
          <w:szCs w:val="22"/>
        </w:rPr>
        <w:t xml:space="preserve"> to protect the owner’s interest.  This representation period concluded on 28 July 2011.</w:t>
      </w:r>
    </w:p>
    <w:p w:rsidR="00BF5722" w:rsidRPr="00B5525B" w:rsidRDefault="00BF5722" w:rsidP="004902D3">
      <w:pPr>
        <w:pStyle w:val="ListParagraph"/>
        <w:keepLines/>
        <w:ind w:left="360"/>
        <w:rPr>
          <w:rFonts w:ascii="Arial" w:hAnsi="Arial" w:cs="Arial"/>
          <w:sz w:val="22"/>
          <w:szCs w:val="22"/>
        </w:rPr>
      </w:pPr>
    </w:p>
    <w:p w:rsidR="00BF5722" w:rsidRPr="00B5525B" w:rsidRDefault="00BF5722" w:rsidP="004902D3">
      <w:pPr>
        <w:pStyle w:val="ListParagraph"/>
        <w:keepLines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5525B">
        <w:rPr>
          <w:rFonts w:ascii="Arial" w:hAnsi="Arial" w:cs="Arial"/>
          <w:sz w:val="22"/>
          <w:szCs w:val="22"/>
        </w:rPr>
        <w:t xml:space="preserve">No representations were made by affected owners and therefore it is provided that the </w:t>
      </w:r>
      <w:r>
        <w:rPr>
          <w:rFonts w:ascii="Arial" w:hAnsi="Arial" w:cs="Arial"/>
          <w:sz w:val="22"/>
          <w:szCs w:val="22"/>
        </w:rPr>
        <w:t>Submitted Scheme</w:t>
      </w:r>
      <w:r w:rsidRPr="00B5525B">
        <w:rPr>
          <w:rFonts w:ascii="Arial" w:hAnsi="Arial" w:cs="Arial"/>
          <w:sz w:val="22"/>
          <w:szCs w:val="22"/>
        </w:rPr>
        <w:t xml:space="preserve"> becomes the Development Scheme for the Grantham </w:t>
      </w:r>
      <w:r>
        <w:rPr>
          <w:rFonts w:ascii="Arial" w:hAnsi="Arial" w:cs="Arial"/>
          <w:sz w:val="22"/>
          <w:szCs w:val="22"/>
        </w:rPr>
        <w:t>Reconstruction Area</w:t>
      </w:r>
      <w:r w:rsidRPr="00B5525B">
        <w:rPr>
          <w:rFonts w:ascii="Arial" w:hAnsi="Arial" w:cs="Arial"/>
          <w:sz w:val="22"/>
          <w:szCs w:val="22"/>
        </w:rPr>
        <w:t xml:space="preserve"> and takes effect when the </w:t>
      </w:r>
      <w:r w:rsidRPr="00B5525B">
        <w:rPr>
          <w:rFonts w:ascii="Arial" w:hAnsi="Arial" w:cs="Arial"/>
          <w:i/>
          <w:sz w:val="22"/>
          <w:szCs w:val="22"/>
        </w:rPr>
        <w:t>Queensland Reconstruction Authority Amendment Regulation 2011</w:t>
      </w:r>
      <w:r w:rsidRPr="00B5525B">
        <w:rPr>
          <w:rFonts w:ascii="Arial" w:hAnsi="Arial" w:cs="Arial"/>
          <w:sz w:val="22"/>
          <w:szCs w:val="22"/>
        </w:rPr>
        <w:t xml:space="preserve"> is approved. </w:t>
      </w:r>
    </w:p>
    <w:p w:rsidR="00BF5722" w:rsidRPr="00B5525B" w:rsidRDefault="00BF5722" w:rsidP="004902D3">
      <w:pPr>
        <w:pStyle w:val="ListParagraph"/>
        <w:keepLines/>
        <w:ind w:left="360"/>
      </w:pPr>
    </w:p>
    <w:p w:rsidR="00BF5722" w:rsidRPr="00B5525B" w:rsidRDefault="00BF5722" w:rsidP="004902D3">
      <w:pPr>
        <w:keepLines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5525B">
        <w:rPr>
          <w:rFonts w:ascii="Arial" w:hAnsi="Arial" w:cs="Arial"/>
          <w:sz w:val="22"/>
          <w:szCs w:val="22"/>
          <w:u w:val="single"/>
        </w:rPr>
        <w:t>Cabinet endorsed</w:t>
      </w:r>
      <w:r w:rsidRPr="00B5525B">
        <w:rPr>
          <w:rFonts w:ascii="Arial" w:hAnsi="Arial" w:cs="Arial"/>
          <w:sz w:val="22"/>
          <w:szCs w:val="22"/>
        </w:rPr>
        <w:t xml:space="preserve"> that the </w:t>
      </w:r>
      <w:r w:rsidRPr="00B5525B">
        <w:rPr>
          <w:rFonts w:ascii="Arial" w:hAnsi="Arial" w:cs="Arial"/>
          <w:i/>
          <w:sz w:val="22"/>
          <w:szCs w:val="22"/>
        </w:rPr>
        <w:t>Queensland Reconstruction Authority Amendment Regulation 2011</w:t>
      </w:r>
      <w:r w:rsidRPr="00B5525B">
        <w:rPr>
          <w:rFonts w:ascii="Arial" w:hAnsi="Arial" w:cs="Arial"/>
          <w:sz w:val="22"/>
          <w:szCs w:val="22"/>
        </w:rPr>
        <w:t xml:space="preserve"> be recommended to the Governor in Council for approval.</w:t>
      </w:r>
    </w:p>
    <w:p w:rsidR="00BF5722" w:rsidRPr="00B5525B" w:rsidRDefault="00BF5722" w:rsidP="004902D3">
      <w:pPr>
        <w:pStyle w:val="ListParagraph"/>
        <w:keepLines/>
        <w:spacing w:before="120"/>
        <w:ind w:left="360"/>
        <w:rPr>
          <w:rFonts w:ascii="Arial" w:hAnsi="Arial" w:cs="Arial"/>
          <w:sz w:val="22"/>
          <w:szCs w:val="22"/>
        </w:rPr>
      </w:pPr>
    </w:p>
    <w:p w:rsidR="00BF5722" w:rsidRPr="00EE57FF" w:rsidRDefault="00BF5722" w:rsidP="004902D3">
      <w:pPr>
        <w:keepLines/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EE57FF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BF5722" w:rsidRDefault="000366EA" w:rsidP="00004F94">
      <w:pPr>
        <w:keepLines/>
        <w:numPr>
          <w:ilvl w:val="0"/>
          <w:numId w:val="22"/>
        </w:numPr>
        <w:spacing w:before="120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BF5722" w:rsidRPr="00004F94">
          <w:rPr>
            <w:rStyle w:val="Hyperlink"/>
            <w:rFonts w:ascii="Arial" w:hAnsi="Arial" w:cs="Arial"/>
            <w:i/>
            <w:sz w:val="22"/>
            <w:szCs w:val="22"/>
          </w:rPr>
          <w:t>Queensland Reconstruction Authority Amendment Regulation 2011</w:t>
        </w:r>
      </w:hyperlink>
    </w:p>
    <w:p w:rsidR="00004F94" w:rsidRDefault="000366EA" w:rsidP="00004F94">
      <w:pPr>
        <w:keepLines/>
        <w:numPr>
          <w:ilvl w:val="0"/>
          <w:numId w:val="22"/>
        </w:numPr>
        <w:spacing w:before="120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hyperlink r:id="rId8" w:history="1">
        <w:r w:rsidR="00004F94" w:rsidRPr="00CC72E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870321" w:rsidRDefault="00BF5722" w:rsidP="00004F94">
      <w:pPr>
        <w:keepLines/>
        <w:numPr>
          <w:ilvl w:val="0"/>
          <w:numId w:val="22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04F94">
        <w:rPr>
          <w:rFonts w:ascii="Arial" w:hAnsi="Arial" w:cs="Arial"/>
          <w:sz w:val="22"/>
          <w:szCs w:val="22"/>
        </w:rPr>
        <w:t>Development Scheme for the Grantham Reconstruction Area</w:t>
      </w:r>
      <w:r w:rsidR="00CC72E2">
        <w:rPr>
          <w:rFonts w:ascii="Arial" w:hAnsi="Arial" w:cs="Arial"/>
          <w:sz w:val="22"/>
          <w:szCs w:val="22"/>
        </w:rPr>
        <w:t>:</w:t>
      </w:r>
    </w:p>
    <w:p w:rsidR="00CC72E2" w:rsidRDefault="000366EA" w:rsidP="00CC72E2">
      <w:pPr>
        <w:keepLines/>
        <w:numPr>
          <w:ilvl w:val="1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9" w:history="1">
        <w:r w:rsidR="00CC72E2" w:rsidRPr="00CC72E2">
          <w:rPr>
            <w:rStyle w:val="Hyperlink"/>
            <w:rFonts w:ascii="Arial" w:hAnsi="Arial" w:cs="Arial"/>
            <w:sz w:val="22"/>
            <w:szCs w:val="22"/>
          </w:rPr>
          <w:t>Introduction</w:t>
        </w:r>
      </w:hyperlink>
    </w:p>
    <w:p w:rsidR="00CC72E2" w:rsidRDefault="000366EA" w:rsidP="00CC72E2">
      <w:pPr>
        <w:keepLines/>
        <w:numPr>
          <w:ilvl w:val="1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CC72E2" w:rsidRPr="00CC72E2">
          <w:rPr>
            <w:rStyle w:val="Hyperlink"/>
            <w:rFonts w:ascii="Arial" w:hAnsi="Arial" w:cs="Arial"/>
            <w:sz w:val="22"/>
            <w:szCs w:val="22"/>
          </w:rPr>
          <w:t>Part 1</w:t>
        </w:r>
      </w:hyperlink>
    </w:p>
    <w:p w:rsidR="00CC72E2" w:rsidRDefault="000366EA" w:rsidP="00CC72E2">
      <w:pPr>
        <w:keepLines/>
        <w:numPr>
          <w:ilvl w:val="1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CC72E2" w:rsidRPr="00CC72E2">
          <w:rPr>
            <w:rStyle w:val="Hyperlink"/>
            <w:rFonts w:ascii="Arial" w:hAnsi="Arial" w:cs="Arial"/>
            <w:sz w:val="22"/>
            <w:szCs w:val="22"/>
          </w:rPr>
          <w:t>Part 2</w:t>
        </w:r>
      </w:hyperlink>
    </w:p>
    <w:p w:rsidR="00CC72E2" w:rsidRPr="00004F94" w:rsidRDefault="000366EA" w:rsidP="00CC72E2">
      <w:pPr>
        <w:keepLines/>
        <w:numPr>
          <w:ilvl w:val="1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CC72E2" w:rsidRPr="00CC72E2">
          <w:rPr>
            <w:rStyle w:val="Hyperlink"/>
            <w:rFonts w:ascii="Arial" w:hAnsi="Arial" w:cs="Arial"/>
            <w:sz w:val="22"/>
            <w:szCs w:val="22"/>
          </w:rPr>
          <w:t>Part 3</w:t>
        </w:r>
      </w:hyperlink>
    </w:p>
    <w:sectPr w:rsidR="00CC72E2" w:rsidRPr="00004F94" w:rsidSect="004902D3">
      <w:headerReference w:type="default" r:id="rId13"/>
      <w:footerReference w:type="default" r:id="rId14"/>
      <w:headerReference w:type="first" r:id="rId15"/>
      <w:pgSz w:w="11907" w:h="16840" w:code="9"/>
      <w:pgMar w:top="709" w:right="1418" w:bottom="851" w:left="1418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27" w:rsidRDefault="00B11027">
      <w:r>
        <w:separator/>
      </w:r>
    </w:p>
  </w:endnote>
  <w:endnote w:type="continuationSeparator" w:id="0">
    <w:p w:rsidR="00B11027" w:rsidRDefault="00B1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94" w:rsidRPr="001141E1" w:rsidRDefault="00004F94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27" w:rsidRDefault="00B11027">
      <w:r>
        <w:separator/>
      </w:r>
    </w:p>
  </w:footnote>
  <w:footnote w:type="continuationSeparator" w:id="0">
    <w:p w:rsidR="00B11027" w:rsidRDefault="00B1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94" w:rsidRPr="000400F9" w:rsidRDefault="00807495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F94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04F94">
      <w:rPr>
        <w:rFonts w:ascii="Arial" w:hAnsi="Arial" w:cs="Arial"/>
        <w:b/>
        <w:sz w:val="22"/>
        <w:szCs w:val="22"/>
        <w:u w:val="single"/>
      </w:rPr>
      <w:t>month year</w:t>
    </w:r>
  </w:p>
  <w:p w:rsidR="00004F94" w:rsidRDefault="00004F94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004F94" w:rsidRDefault="00004F94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004F94" w:rsidRPr="00F10DF9" w:rsidRDefault="00004F94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F94" w:rsidRPr="00CF0753" w:rsidRDefault="00807495" w:rsidP="00BF5722">
    <w:pPr>
      <w:pStyle w:val="Header"/>
      <w:tabs>
        <w:tab w:val="clear" w:pos="8306"/>
        <w:tab w:val="left" w:pos="7655"/>
        <w:tab w:val="right" w:pos="9072"/>
      </w:tabs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8" name="Picture 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F94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04F94">
      <w:rPr>
        <w:rFonts w:ascii="Arial" w:hAnsi="Arial" w:cs="Arial"/>
        <w:b/>
        <w:sz w:val="22"/>
        <w:szCs w:val="22"/>
        <w:u w:val="single"/>
      </w:rPr>
      <w:t>August 2011</w:t>
    </w:r>
    <w:r w:rsidR="00004F94">
      <w:rPr>
        <w:rFonts w:ascii="Arial" w:hAnsi="Arial" w:cs="Arial"/>
        <w:b/>
        <w:sz w:val="22"/>
        <w:szCs w:val="22"/>
      </w:rPr>
      <w:tab/>
    </w:r>
  </w:p>
  <w:p w:rsidR="00004F94" w:rsidRDefault="00EE57FF" w:rsidP="00BF572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Reconstruction Authority Amendment Regulation 2011</w:t>
    </w:r>
  </w:p>
  <w:p w:rsidR="00004F94" w:rsidRDefault="00004F94" w:rsidP="00BF572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Reconstruction</w:t>
    </w:r>
  </w:p>
  <w:p w:rsidR="00004F94" w:rsidRPr="00F10DF9" w:rsidRDefault="00004F94" w:rsidP="00BF5722">
    <w:pPr>
      <w:pStyle w:val="Header"/>
      <w:pBdr>
        <w:bottom w:val="single" w:sz="4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4E77A1"/>
    <w:multiLevelType w:val="hybridMultilevel"/>
    <w:tmpl w:val="37CA9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8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14"/>
  </w:num>
  <w:num w:numId="13">
    <w:abstractNumId w:val="17"/>
  </w:num>
  <w:num w:numId="14">
    <w:abstractNumId w:val="5"/>
  </w:num>
  <w:num w:numId="15">
    <w:abstractNumId w:val="4"/>
  </w:num>
  <w:num w:numId="16">
    <w:abstractNumId w:val="12"/>
  </w:num>
  <w:num w:numId="17">
    <w:abstractNumId w:val="15"/>
  </w:num>
  <w:num w:numId="18">
    <w:abstractNumId w:val="16"/>
  </w:num>
  <w:num w:numId="19">
    <w:abstractNumId w:val="10"/>
  </w:num>
  <w:num w:numId="20">
    <w:abstractNumId w:val="2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2D"/>
    <w:rsid w:val="00004F94"/>
    <w:rsid w:val="00021188"/>
    <w:rsid w:val="000366EA"/>
    <w:rsid w:val="00041A0F"/>
    <w:rsid w:val="000430DD"/>
    <w:rsid w:val="00070A40"/>
    <w:rsid w:val="00081F08"/>
    <w:rsid w:val="0009634A"/>
    <w:rsid w:val="000A1D7D"/>
    <w:rsid w:val="000A2BAC"/>
    <w:rsid w:val="000A6E5D"/>
    <w:rsid w:val="000C15F5"/>
    <w:rsid w:val="000C2437"/>
    <w:rsid w:val="000C4A15"/>
    <w:rsid w:val="000C7639"/>
    <w:rsid w:val="000D05D6"/>
    <w:rsid w:val="000E3F6A"/>
    <w:rsid w:val="001227DD"/>
    <w:rsid w:val="00124FE2"/>
    <w:rsid w:val="00126CC9"/>
    <w:rsid w:val="00140936"/>
    <w:rsid w:val="0014649D"/>
    <w:rsid w:val="0015685D"/>
    <w:rsid w:val="00156C19"/>
    <w:rsid w:val="0017782F"/>
    <w:rsid w:val="00182E54"/>
    <w:rsid w:val="001B5837"/>
    <w:rsid w:val="001C350C"/>
    <w:rsid w:val="001D5A2D"/>
    <w:rsid w:val="001E5583"/>
    <w:rsid w:val="001E6C9A"/>
    <w:rsid w:val="0021344B"/>
    <w:rsid w:val="00216296"/>
    <w:rsid w:val="00222501"/>
    <w:rsid w:val="00240160"/>
    <w:rsid w:val="0024220C"/>
    <w:rsid w:val="00242B09"/>
    <w:rsid w:val="002732A8"/>
    <w:rsid w:val="00273B58"/>
    <w:rsid w:val="002A6FC7"/>
    <w:rsid w:val="002C29EC"/>
    <w:rsid w:val="002E58D6"/>
    <w:rsid w:val="002E5AA0"/>
    <w:rsid w:val="002F7590"/>
    <w:rsid w:val="003024B9"/>
    <w:rsid w:val="003201DC"/>
    <w:rsid w:val="00330878"/>
    <w:rsid w:val="0033391A"/>
    <w:rsid w:val="003357C0"/>
    <w:rsid w:val="00340EF2"/>
    <w:rsid w:val="00350A69"/>
    <w:rsid w:val="00355608"/>
    <w:rsid w:val="003737C1"/>
    <w:rsid w:val="00391750"/>
    <w:rsid w:val="003927E5"/>
    <w:rsid w:val="003A4AA8"/>
    <w:rsid w:val="003B5871"/>
    <w:rsid w:val="003C5050"/>
    <w:rsid w:val="003C71CD"/>
    <w:rsid w:val="003D2408"/>
    <w:rsid w:val="003E2D89"/>
    <w:rsid w:val="00412A34"/>
    <w:rsid w:val="004149B9"/>
    <w:rsid w:val="00426D0F"/>
    <w:rsid w:val="00444DCF"/>
    <w:rsid w:val="00464036"/>
    <w:rsid w:val="004740B9"/>
    <w:rsid w:val="00476361"/>
    <w:rsid w:val="004902D3"/>
    <w:rsid w:val="004B39E1"/>
    <w:rsid w:val="004C65A5"/>
    <w:rsid w:val="004D7050"/>
    <w:rsid w:val="004E3AE1"/>
    <w:rsid w:val="004E3BC5"/>
    <w:rsid w:val="004F0DC1"/>
    <w:rsid w:val="00527730"/>
    <w:rsid w:val="005425AB"/>
    <w:rsid w:val="005577AB"/>
    <w:rsid w:val="00560ED3"/>
    <w:rsid w:val="005D5BB9"/>
    <w:rsid w:val="005E2BA8"/>
    <w:rsid w:val="005E7616"/>
    <w:rsid w:val="00617956"/>
    <w:rsid w:val="0064268C"/>
    <w:rsid w:val="00656393"/>
    <w:rsid w:val="0066421E"/>
    <w:rsid w:val="00667828"/>
    <w:rsid w:val="0067667D"/>
    <w:rsid w:val="00681813"/>
    <w:rsid w:val="006E25A6"/>
    <w:rsid w:val="00742804"/>
    <w:rsid w:val="00745F4C"/>
    <w:rsid w:val="00750FB7"/>
    <w:rsid w:val="007653EB"/>
    <w:rsid w:val="00782539"/>
    <w:rsid w:val="0079498D"/>
    <w:rsid w:val="007B6771"/>
    <w:rsid w:val="007C5B4B"/>
    <w:rsid w:val="007C6505"/>
    <w:rsid w:val="007D5192"/>
    <w:rsid w:val="007F46E4"/>
    <w:rsid w:val="00807495"/>
    <w:rsid w:val="00827D70"/>
    <w:rsid w:val="00832489"/>
    <w:rsid w:val="00834946"/>
    <w:rsid w:val="00844B04"/>
    <w:rsid w:val="00862C15"/>
    <w:rsid w:val="00867427"/>
    <w:rsid w:val="00870321"/>
    <w:rsid w:val="008A3F6F"/>
    <w:rsid w:val="008A4523"/>
    <w:rsid w:val="008E442D"/>
    <w:rsid w:val="0090137E"/>
    <w:rsid w:val="0090282F"/>
    <w:rsid w:val="00910375"/>
    <w:rsid w:val="009103C6"/>
    <w:rsid w:val="00911F6B"/>
    <w:rsid w:val="009175A7"/>
    <w:rsid w:val="009342A1"/>
    <w:rsid w:val="00934403"/>
    <w:rsid w:val="0094685D"/>
    <w:rsid w:val="009551A2"/>
    <w:rsid w:val="009566B7"/>
    <w:rsid w:val="009E4DC1"/>
    <w:rsid w:val="009E6136"/>
    <w:rsid w:val="009F2656"/>
    <w:rsid w:val="009F4298"/>
    <w:rsid w:val="00A07563"/>
    <w:rsid w:val="00A159BA"/>
    <w:rsid w:val="00A17ED0"/>
    <w:rsid w:val="00A41443"/>
    <w:rsid w:val="00A4217C"/>
    <w:rsid w:val="00A45816"/>
    <w:rsid w:val="00A67675"/>
    <w:rsid w:val="00A70444"/>
    <w:rsid w:val="00AB5421"/>
    <w:rsid w:val="00AB6F21"/>
    <w:rsid w:val="00AD6552"/>
    <w:rsid w:val="00AF610D"/>
    <w:rsid w:val="00B0525E"/>
    <w:rsid w:val="00B11027"/>
    <w:rsid w:val="00B377F3"/>
    <w:rsid w:val="00B97FB4"/>
    <w:rsid w:val="00BB1AFC"/>
    <w:rsid w:val="00BD5C1A"/>
    <w:rsid w:val="00BE346E"/>
    <w:rsid w:val="00BF35DF"/>
    <w:rsid w:val="00BF46CA"/>
    <w:rsid w:val="00BF5722"/>
    <w:rsid w:val="00C0535B"/>
    <w:rsid w:val="00C16E01"/>
    <w:rsid w:val="00C17E3B"/>
    <w:rsid w:val="00C25880"/>
    <w:rsid w:val="00C30A86"/>
    <w:rsid w:val="00C31326"/>
    <w:rsid w:val="00C34E32"/>
    <w:rsid w:val="00C44A05"/>
    <w:rsid w:val="00C51F18"/>
    <w:rsid w:val="00CB44E7"/>
    <w:rsid w:val="00CC0A18"/>
    <w:rsid w:val="00CC72E2"/>
    <w:rsid w:val="00D740A8"/>
    <w:rsid w:val="00D82051"/>
    <w:rsid w:val="00D84B5E"/>
    <w:rsid w:val="00D96412"/>
    <w:rsid w:val="00DA6C5D"/>
    <w:rsid w:val="00DB6FE7"/>
    <w:rsid w:val="00DD1780"/>
    <w:rsid w:val="00DD6BA7"/>
    <w:rsid w:val="00DE61EC"/>
    <w:rsid w:val="00DE73D5"/>
    <w:rsid w:val="00DF08D6"/>
    <w:rsid w:val="00DF2E2C"/>
    <w:rsid w:val="00DF69A7"/>
    <w:rsid w:val="00E129B6"/>
    <w:rsid w:val="00E464DD"/>
    <w:rsid w:val="00E539DE"/>
    <w:rsid w:val="00E814F1"/>
    <w:rsid w:val="00E84E0F"/>
    <w:rsid w:val="00E9162F"/>
    <w:rsid w:val="00EB074A"/>
    <w:rsid w:val="00EB2A04"/>
    <w:rsid w:val="00EC026F"/>
    <w:rsid w:val="00EC0396"/>
    <w:rsid w:val="00EC3D68"/>
    <w:rsid w:val="00EC4DE0"/>
    <w:rsid w:val="00ED29FB"/>
    <w:rsid w:val="00EE23E9"/>
    <w:rsid w:val="00EE25B4"/>
    <w:rsid w:val="00EE57FF"/>
    <w:rsid w:val="00EF5DAD"/>
    <w:rsid w:val="00F023B9"/>
    <w:rsid w:val="00F04337"/>
    <w:rsid w:val="00F333F5"/>
    <w:rsid w:val="00F515D3"/>
    <w:rsid w:val="00F561A5"/>
    <w:rsid w:val="00F679C1"/>
    <w:rsid w:val="00F822D6"/>
    <w:rsid w:val="00F84EFB"/>
    <w:rsid w:val="00F93C82"/>
    <w:rsid w:val="00FA33B7"/>
    <w:rsid w:val="00FA6F0E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customStyle="1" w:styleId="HeaderChar">
    <w:name w:val="Header Char"/>
    <w:basedOn w:val="DefaultParagraphFont"/>
    <w:link w:val="Header"/>
    <w:rsid w:val="00BF5722"/>
    <w:rPr>
      <w:sz w:val="24"/>
    </w:rPr>
  </w:style>
  <w:style w:type="paragraph" w:styleId="ListParagraph">
    <w:name w:val="List Paragraph"/>
    <w:basedOn w:val="Normal"/>
    <w:uiPriority w:val="34"/>
    <w:qFormat/>
    <w:rsid w:val="00BF5722"/>
    <w:pPr>
      <w:ind w:left="720"/>
    </w:pPr>
  </w:style>
  <w:style w:type="character" w:styleId="Hyperlink">
    <w:name w:val="Hyperlink"/>
    <w:basedOn w:val="DefaultParagraphFont"/>
    <w:rsid w:val="00004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egulation.pdf" TargetMode="External"/><Relationship Id="rId12" Type="http://schemas.openxmlformats.org/officeDocument/2006/relationships/hyperlink" Target="Attachments/Grantham-Development-Scheme-Part-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ttachments/Grantham-Development-Scheme-Part-2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Attachments/Grantham-Development-Scheme-Part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Grantham-Development-Scheme-intro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olicy%20Submission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Proforma.dot</Template>
  <TotalTime>0</TotalTime>
  <Pages>1</Pages>
  <Words>386</Words>
  <Characters>2128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2505</CharactersWithSpaces>
  <SharedDoc>false</SharedDoc>
  <HyperlinkBase>https://www.cabinet.qld.gov.au/documents/2011/Aug/QldRA Amendment Regulation 2011/</HyperlinkBase>
  <HLinks>
    <vt:vector size="36" baseType="variant">
      <vt:variant>
        <vt:i4>3014783</vt:i4>
      </vt:variant>
      <vt:variant>
        <vt:i4>15</vt:i4>
      </vt:variant>
      <vt:variant>
        <vt:i4>0</vt:i4>
      </vt:variant>
      <vt:variant>
        <vt:i4>5</vt:i4>
      </vt:variant>
      <vt:variant>
        <vt:lpwstr>Attachments/Grantham-Development-Scheme-Part-3.pdf</vt:lpwstr>
      </vt:variant>
      <vt:variant>
        <vt:lpwstr/>
      </vt:variant>
      <vt:variant>
        <vt:i4>3080319</vt:i4>
      </vt:variant>
      <vt:variant>
        <vt:i4>12</vt:i4>
      </vt:variant>
      <vt:variant>
        <vt:i4>0</vt:i4>
      </vt:variant>
      <vt:variant>
        <vt:i4>5</vt:i4>
      </vt:variant>
      <vt:variant>
        <vt:lpwstr>Attachments/Grantham-Development-Scheme-Part-2.pdf</vt:lpwstr>
      </vt:variant>
      <vt:variant>
        <vt:lpwstr/>
      </vt:variant>
      <vt:variant>
        <vt:i4>2883711</vt:i4>
      </vt:variant>
      <vt:variant>
        <vt:i4>9</vt:i4>
      </vt:variant>
      <vt:variant>
        <vt:i4>0</vt:i4>
      </vt:variant>
      <vt:variant>
        <vt:i4>5</vt:i4>
      </vt:variant>
      <vt:variant>
        <vt:lpwstr>Attachments/Grantham-Development-Scheme-Part-1.pdf</vt:lpwstr>
      </vt:variant>
      <vt:variant>
        <vt:lpwstr/>
      </vt:variant>
      <vt:variant>
        <vt:i4>4718616</vt:i4>
      </vt:variant>
      <vt:variant>
        <vt:i4>6</vt:i4>
      </vt:variant>
      <vt:variant>
        <vt:i4>0</vt:i4>
      </vt:variant>
      <vt:variant>
        <vt:i4>5</vt:i4>
      </vt:variant>
      <vt:variant>
        <vt:lpwstr>Attachments/Grantham-Development-Scheme-intro.pdf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Attachments/Regulation.pdf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2008-02-04T00:41:00Z</cp:lastPrinted>
  <dcterms:created xsi:type="dcterms:W3CDTF">2017-10-24T23:05:00Z</dcterms:created>
  <dcterms:modified xsi:type="dcterms:W3CDTF">2018-03-06T01:07:00Z</dcterms:modified>
  <cp:category>Disaster_Management,Legislation,Planning</cp:category>
</cp:coreProperties>
</file>